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before="200" w:after="0"/>
        <w:rPr>
          <w:rFonts w:ascii="Garamond" w:eastAsia="Garamond" w:hAnsi="Garamond" w:cs="Garamond"/>
          <w:i/>
          <w:sz w:val="24"/>
          <w:szCs w:val="24"/>
        </w:rPr>
      </w:pPr>
      <w:r>
        <w:rPr>
          <w:rFonts w:ascii="Garamond" w:eastAsia="Garamond" w:hAnsi="Garamond" w:cs="Garamond"/>
          <w:i/>
          <w:sz w:val="24"/>
          <w:szCs w:val="24"/>
        </w:rPr>
        <w:t>For immediate release</w:t>
      </w:r>
    </w:p>
    <w:p>
      <w:pPr>
        <w:pStyle w:val="Heading1"/>
        <w:spacing w:before="240" w:after="0"/>
        <w:rPr>
          <w:sz w:val="36"/>
          <w:szCs w:val="36"/>
        </w:rPr>
      </w:pPr>
      <w:r>
        <w:rPr>
          <w:sz w:val="36"/>
          <w:szCs w:val="36"/>
        </w:rPr>
        <w:t>Debut collection of essays go beyond the personal</w:t>
      </w:r>
    </w:p>
    <w:p/>
    <w:p>
      <w:pPr>
        <w:spacing w:after="0"/>
        <w:rPr>
          <w:rFonts w:ascii="Garamond" w:hAnsi="Garamond"/>
          <w:sz w:val="24"/>
          <w:szCs w:val="24"/>
        </w:rPr>
      </w:pPr>
      <w:r>
        <w:rPr>
          <w:rFonts w:ascii="Garamond" w:hAnsi="Garamond"/>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109855</wp:posOffset>
            </wp:positionV>
            <wp:extent cx="2960370" cy="4438650"/>
            <wp:effectExtent l="19050" t="19050" r="1143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tiaki cover front high-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370" cy="4438650"/>
                    </a:xfrm>
                    <a:prstGeom prst="rect">
                      <a:avLst/>
                    </a:prstGeom>
                    <a:ln w="1905">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rFonts w:ascii="Garamond" w:hAnsi="Garamond"/>
          <w:sz w:val="24"/>
          <w:szCs w:val="24"/>
        </w:rPr>
        <w:t xml:space="preserve">Wellington writer John-Paul Powley, whose debut book </w:t>
      </w:r>
      <w:proofErr w:type="spellStart"/>
      <w:r>
        <w:rPr>
          <w:rFonts w:ascii="Garamond" w:hAnsi="Garamond"/>
          <w:i/>
          <w:sz w:val="24"/>
          <w:szCs w:val="24"/>
        </w:rPr>
        <w:t>Kaitiaki</w:t>
      </w:r>
      <w:proofErr w:type="spellEnd"/>
      <w:r>
        <w:rPr>
          <w:rFonts w:ascii="Garamond" w:hAnsi="Garamond"/>
          <w:i/>
          <w:sz w:val="24"/>
          <w:szCs w:val="24"/>
        </w:rPr>
        <w:t xml:space="preserve"> o </w:t>
      </w:r>
      <w:proofErr w:type="spellStart"/>
      <w:r>
        <w:rPr>
          <w:rFonts w:ascii="Garamond" w:hAnsi="Garamond"/>
          <w:i/>
          <w:sz w:val="24"/>
          <w:szCs w:val="24"/>
        </w:rPr>
        <w:t>te</w:t>
      </w:r>
      <w:proofErr w:type="spellEnd"/>
      <w:r>
        <w:rPr>
          <w:rFonts w:ascii="Garamond" w:hAnsi="Garamond"/>
          <w:i/>
          <w:sz w:val="24"/>
          <w:szCs w:val="24"/>
        </w:rPr>
        <w:t xml:space="preserve"> </w:t>
      </w:r>
      <w:proofErr w:type="spellStart"/>
      <w:r>
        <w:rPr>
          <w:rFonts w:ascii="Garamond" w:hAnsi="Garamond"/>
          <w:i/>
          <w:sz w:val="24"/>
          <w:szCs w:val="24"/>
        </w:rPr>
        <w:t>Pō</w:t>
      </w:r>
      <w:proofErr w:type="spellEnd"/>
      <w:r>
        <w:rPr>
          <w:rFonts w:ascii="Garamond" w:hAnsi="Garamond"/>
          <w:i/>
          <w:sz w:val="24"/>
          <w:szCs w:val="24"/>
        </w:rPr>
        <w:t>: Essays</w:t>
      </w:r>
      <w:r>
        <w:rPr>
          <w:rFonts w:ascii="Garamond" w:hAnsi="Garamond"/>
          <w:sz w:val="24"/>
          <w:szCs w:val="24"/>
        </w:rPr>
        <w:t xml:space="preserve"> wa</w:t>
      </w:r>
      <w:bookmarkStart w:id="0" w:name="_GoBack"/>
      <w:bookmarkEnd w:id="0"/>
      <w:r>
        <w:rPr>
          <w:rFonts w:ascii="Garamond" w:hAnsi="Garamond"/>
          <w:sz w:val="24"/>
          <w:szCs w:val="24"/>
        </w:rPr>
        <w:t xml:space="preserve">s published at the beginning of December, thought for a long time that his first book would be a novel he wrote almost 25 years ago. “I wasted a lot of time in my life thinking that ‘proper’ writing was writing a novel, not realising that proper writing is actually whatever you enjoy writing about in whatever way. For a person as astonishingly self-absorbed as me it seems ridiculous that I failed to observe that what I most loved to read – non-fiction that was close to fiction, or fiction that was close to non-fiction – would be the thing I would most enjoy to write.”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Creative non-fiction in general, and personal essays in particular, are having a heyday internationally, and have been taking off in New Zealand too. In this book, Powley joins essayists such as US author Rebecca Solnit, whose ‘personal’ essays go far beyond the simply personal but also examine larger issues in our society.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Topics that Powley tackles with intelligence, deep thinking, and often wit, include the untimely death of a friend; a school field trip around India; how the murder of missionary Karl </w:t>
      </w:r>
      <w:proofErr w:type="spellStart"/>
      <w:r>
        <w:rPr>
          <w:rFonts w:ascii="Garamond" w:hAnsi="Garamond"/>
          <w:sz w:val="24"/>
          <w:szCs w:val="24"/>
        </w:rPr>
        <w:t>Völkner</w:t>
      </w:r>
      <w:proofErr w:type="spellEnd"/>
      <w:r>
        <w:rPr>
          <w:rFonts w:ascii="Garamond" w:hAnsi="Garamond"/>
          <w:sz w:val="24"/>
          <w:szCs w:val="24"/>
        </w:rPr>
        <w:t xml:space="preserve"> by a small number of men meant land confiscation for an entire iwi; how our history plays out in our present, especially for Māori; growing up as a sensitive boy in a patriarchal society; his experiences of being a high-school Dean trying help the ‘difficult’ kids; and why young men, such as Keats and grunge rockers, are perhaps not the best people to give you advice on how to live your life after all.</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Powley, a Pākehā teacher of history and social studies, found resonance in the idea expressed by Justice Joe Williams at a history teachers’ conference. As he writes in the title essay: “Historians, he said, were ‘</w:t>
      </w:r>
      <w:proofErr w:type="spellStart"/>
      <w:r>
        <w:rPr>
          <w:rFonts w:ascii="Garamond" w:hAnsi="Garamond"/>
          <w:sz w:val="24"/>
          <w:szCs w:val="24"/>
        </w:rPr>
        <w:t>kaitiaki</w:t>
      </w:r>
      <w:proofErr w:type="spellEnd"/>
      <w:r>
        <w:rPr>
          <w:rFonts w:ascii="Garamond" w:hAnsi="Garamond"/>
          <w:sz w:val="24"/>
          <w:szCs w:val="24"/>
        </w:rPr>
        <w:t xml:space="preserve"> o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pō</w:t>
      </w:r>
      <w:proofErr w:type="spellEnd"/>
      <w:r>
        <w:rPr>
          <w:rFonts w:ascii="Garamond" w:hAnsi="Garamond"/>
          <w:sz w:val="24"/>
          <w:szCs w:val="24"/>
        </w:rPr>
        <w:t>’. This translates to mean the caretakers of the night ….</w:t>
      </w:r>
      <w:r>
        <w:t xml:space="preserve"> </w:t>
      </w:r>
      <w:r>
        <w:rPr>
          <w:rFonts w:ascii="Garamond" w:hAnsi="Garamond"/>
          <w:sz w:val="24"/>
          <w:szCs w:val="24"/>
        </w:rPr>
        <w:t xml:space="preserve">Suddenly I felt honoured to be a teacher of history; honoured and charged with a great responsibility.” </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lastRenderedPageBreak/>
        <w:t>In these essays Powley harnesses the power of stories to tell us about ourselves and where we come from, acting as a caretaker of history and memory. He says “There are three reasons I am drawn to the past: to understand myself; to understand the meaning of life, and to put the present into perspective.”</w:t>
      </w:r>
    </w:p>
    <w:p>
      <w:pPr>
        <w:spacing w:after="0"/>
        <w:rPr>
          <w:rFonts w:ascii="Garamond" w:hAnsi="Garamond"/>
          <w:sz w:val="24"/>
          <w:szCs w:val="24"/>
        </w:rPr>
      </w:pPr>
    </w:p>
    <w:p>
      <w:pPr>
        <w:spacing w:after="0"/>
        <w:rPr>
          <w:rFonts w:ascii="Garamond" w:hAnsi="Garamond"/>
          <w:sz w:val="24"/>
          <w:szCs w:val="24"/>
        </w:rPr>
      </w:pPr>
      <w:proofErr w:type="spellStart"/>
      <w:r>
        <w:rPr>
          <w:rFonts w:ascii="Garamond" w:hAnsi="Garamond"/>
          <w:i/>
          <w:sz w:val="24"/>
          <w:szCs w:val="24"/>
        </w:rPr>
        <w:t>Kaitiaki</w:t>
      </w:r>
      <w:proofErr w:type="spellEnd"/>
      <w:r>
        <w:rPr>
          <w:rFonts w:ascii="Garamond" w:hAnsi="Garamond"/>
          <w:i/>
          <w:sz w:val="24"/>
          <w:szCs w:val="24"/>
        </w:rPr>
        <w:t xml:space="preserve"> o </w:t>
      </w:r>
      <w:proofErr w:type="spellStart"/>
      <w:r>
        <w:rPr>
          <w:rFonts w:ascii="Garamond" w:hAnsi="Garamond"/>
          <w:i/>
          <w:sz w:val="24"/>
          <w:szCs w:val="24"/>
        </w:rPr>
        <w:t>te</w:t>
      </w:r>
      <w:proofErr w:type="spellEnd"/>
      <w:r>
        <w:rPr>
          <w:rFonts w:ascii="Garamond" w:hAnsi="Garamond"/>
          <w:i/>
          <w:sz w:val="24"/>
          <w:szCs w:val="24"/>
        </w:rPr>
        <w:t xml:space="preserve"> </w:t>
      </w:r>
      <w:proofErr w:type="spellStart"/>
      <w:r>
        <w:rPr>
          <w:rFonts w:ascii="Garamond" w:hAnsi="Garamond"/>
          <w:i/>
          <w:sz w:val="24"/>
          <w:szCs w:val="24"/>
        </w:rPr>
        <w:t>Pō</w:t>
      </w:r>
      <w:proofErr w:type="spellEnd"/>
      <w:r>
        <w:rPr>
          <w:rFonts w:ascii="Garamond" w:hAnsi="Garamond"/>
          <w:i/>
          <w:sz w:val="24"/>
          <w:szCs w:val="24"/>
        </w:rPr>
        <w:t>: Essays</w:t>
      </w:r>
      <w:r>
        <w:rPr>
          <w:rFonts w:ascii="Garamond" w:hAnsi="Garamond"/>
          <w:sz w:val="24"/>
          <w:szCs w:val="24"/>
        </w:rPr>
        <w:t xml:space="preserve"> marks the first foray into prose non-fiction for boutique publishing company Seraph Press, which has previously been known for publishing beautiful books of high-quality poetry. Poet and publisher Helen Rickerby, who founded Seraph Press in 2004, says “Taking on a book of essays was a little daunting at times, because essays have so many more words than poetry, but I loved these essays so much I had to take on the project. I am really excited and honoured to be bringing John-Paul’s amazing work to a wider audience.”</w:t>
      </w:r>
    </w:p>
    <w:p>
      <w:pPr>
        <w:spacing w:after="0"/>
        <w:rPr>
          <w:rFonts w:ascii="Garamond" w:hAnsi="Garamond"/>
          <w:sz w:val="24"/>
          <w:szCs w:val="24"/>
        </w:rPr>
      </w:pPr>
    </w:p>
    <w:p>
      <w:pPr>
        <w:spacing w:after="0"/>
        <w:rPr>
          <w:rFonts w:ascii="Garamond" w:hAnsi="Garamond"/>
          <w:sz w:val="24"/>
          <w:szCs w:val="24"/>
        </w:rPr>
      </w:pPr>
      <w:r>
        <w:rPr>
          <w:rFonts w:ascii="Garamond" w:hAnsi="Garamond"/>
          <w:sz w:val="24"/>
          <w:szCs w:val="24"/>
        </w:rPr>
        <w:t xml:space="preserve">John-Paul Powley lives in Wellington with his wife and two daughters. He has taught English in Japan, and history and social studies in New Zealand. His essays have been previously published in </w:t>
      </w:r>
      <w:proofErr w:type="spellStart"/>
      <w:r>
        <w:rPr>
          <w:rFonts w:ascii="Garamond" w:hAnsi="Garamond"/>
          <w:i/>
          <w:sz w:val="24"/>
          <w:szCs w:val="24"/>
        </w:rPr>
        <w:t>JAAM</w:t>
      </w:r>
      <w:proofErr w:type="spellEnd"/>
      <w:r>
        <w:rPr>
          <w:rFonts w:ascii="Garamond" w:hAnsi="Garamond"/>
          <w:sz w:val="24"/>
          <w:szCs w:val="24"/>
        </w:rPr>
        <w:t xml:space="preserve">, </w:t>
      </w:r>
      <w:r>
        <w:rPr>
          <w:rFonts w:ascii="Garamond" w:hAnsi="Garamond"/>
          <w:i/>
          <w:sz w:val="24"/>
          <w:szCs w:val="24"/>
        </w:rPr>
        <w:t>Headlands</w:t>
      </w:r>
      <w:r>
        <w:rPr>
          <w:rFonts w:ascii="Garamond" w:hAnsi="Garamond"/>
          <w:sz w:val="24"/>
          <w:szCs w:val="24"/>
        </w:rPr>
        <w:t xml:space="preserve"> and </w:t>
      </w:r>
      <w:r>
        <w:rPr>
          <w:rFonts w:ascii="Garamond" w:hAnsi="Garamond"/>
          <w:i/>
          <w:sz w:val="24"/>
          <w:szCs w:val="24"/>
        </w:rPr>
        <w:t>The Spinoff</w:t>
      </w:r>
      <w:r>
        <w:rPr>
          <w:rFonts w:ascii="Garamond" w:hAnsi="Garamond"/>
          <w:sz w:val="24"/>
          <w:szCs w:val="24"/>
        </w:rPr>
        <w:t>.</w:t>
      </w:r>
    </w:p>
    <w:p>
      <w:pPr>
        <w:rPr>
          <w:rFonts w:ascii="Garamond" w:hAnsi="Garamond"/>
          <w:sz w:val="24"/>
          <w:szCs w:val="24"/>
        </w:rPr>
      </w:pPr>
    </w:p>
    <w:p>
      <w:pPr>
        <w:pStyle w:val="NormalWeb"/>
        <w:spacing w:before="200" w:beforeAutospacing="0" w:after="0" w:afterAutospacing="0" w:line="276" w:lineRule="auto"/>
        <w:rPr>
          <w:rFonts w:ascii="Garamond" w:hAnsi="Garamond"/>
          <w:b/>
          <w:bCs/>
          <w:color w:val="000000"/>
        </w:rPr>
      </w:pPr>
      <w:r>
        <w:rPr>
          <w:rFonts w:ascii="Garamond" w:hAnsi="Garamond"/>
          <w:b/>
          <w:bCs/>
          <w:color w:val="000000"/>
        </w:rPr>
        <w:t>Notes</w:t>
      </w:r>
    </w:p>
    <w:p>
      <w:pPr>
        <w:pStyle w:val="NoSpacing"/>
        <w:spacing w:line="276" w:lineRule="auto"/>
        <w:rPr>
          <w:rFonts w:ascii="Garamond" w:hAnsi="Garamond"/>
          <w:sz w:val="24"/>
          <w:szCs w:val="24"/>
        </w:rPr>
      </w:pPr>
    </w:p>
    <w:p>
      <w:pPr>
        <w:pStyle w:val="NoSpacing"/>
        <w:spacing w:line="276" w:lineRule="auto"/>
        <w:rPr>
          <w:rFonts w:ascii="Garamond" w:hAnsi="Garamond"/>
          <w:sz w:val="24"/>
          <w:szCs w:val="24"/>
        </w:rPr>
      </w:pPr>
      <w:r>
        <w:rPr>
          <w:rFonts w:ascii="Garamond" w:hAnsi="Garamond"/>
          <w:sz w:val="24"/>
          <w:szCs w:val="24"/>
        </w:rPr>
        <w:t xml:space="preserve">Title: </w:t>
      </w:r>
      <w:proofErr w:type="spellStart"/>
      <w:r>
        <w:rPr>
          <w:rFonts w:ascii="Garamond" w:hAnsi="Garamond"/>
          <w:sz w:val="24"/>
          <w:szCs w:val="24"/>
        </w:rPr>
        <w:t>Kaitiaki</w:t>
      </w:r>
      <w:proofErr w:type="spellEnd"/>
      <w:r>
        <w:rPr>
          <w:rFonts w:ascii="Garamond" w:hAnsi="Garamond"/>
          <w:sz w:val="24"/>
          <w:szCs w:val="24"/>
        </w:rPr>
        <w:t xml:space="preserve"> o </w:t>
      </w:r>
      <w:proofErr w:type="spellStart"/>
      <w:r>
        <w:rPr>
          <w:rFonts w:ascii="Garamond" w:hAnsi="Garamond"/>
          <w:sz w:val="24"/>
          <w:szCs w:val="24"/>
        </w:rPr>
        <w:t>te</w:t>
      </w:r>
      <w:proofErr w:type="spellEnd"/>
      <w:r>
        <w:rPr>
          <w:rFonts w:ascii="Garamond" w:hAnsi="Garamond"/>
          <w:sz w:val="24"/>
          <w:szCs w:val="24"/>
        </w:rPr>
        <w:t xml:space="preserve"> </w:t>
      </w:r>
      <w:proofErr w:type="spellStart"/>
      <w:r>
        <w:rPr>
          <w:rFonts w:ascii="Garamond" w:hAnsi="Garamond"/>
          <w:sz w:val="24"/>
          <w:szCs w:val="24"/>
        </w:rPr>
        <w:t>Pō</w:t>
      </w:r>
      <w:proofErr w:type="spellEnd"/>
      <w:r>
        <w:rPr>
          <w:rFonts w:ascii="Garamond" w:hAnsi="Garamond"/>
          <w:sz w:val="24"/>
          <w:szCs w:val="24"/>
        </w:rPr>
        <w:t>: Essays</w:t>
      </w:r>
    </w:p>
    <w:p>
      <w:pPr>
        <w:pStyle w:val="NoSpacing"/>
        <w:spacing w:line="276" w:lineRule="auto"/>
        <w:rPr>
          <w:rFonts w:ascii="Garamond" w:hAnsi="Garamond"/>
          <w:sz w:val="24"/>
          <w:szCs w:val="24"/>
        </w:rPr>
      </w:pPr>
      <w:r>
        <w:rPr>
          <w:rFonts w:ascii="Garamond" w:hAnsi="Garamond"/>
          <w:sz w:val="24"/>
          <w:szCs w:val="24"/>
        </w:rPr>
        <w:t>Author: John-Paul Powley</w:t>
      </w:r>
    </w:p>
    <w:p>
      <w:pPr>
        <w:pStyle w:val="NoSpacing"/>
        <w:spacing w:line="276" w:lineRule="auto"/>
        <w:rPr>
          <w:rFonts w:ascii="Garamond" w:hAnsi="Garamond"/>
          <w:sz w:val="24"/>
          <w:szCs w:val="24"/>
        </w:rPr>
      </w:pPr>
      <w:r>
        <w:rPr>
          <w:rFonts w:ascii="Garamond" w:hAnsi="Garamond"/>
          <w:sz w:val="24"/>
          <w:szCs w:val="24"/>
        </w:rPr>
        <w:t>Category: Essays</w:t>
      </w:r>
    </w:p>
    <w:p>
      <w:pPr>
        <w:pStyle w:val="NoSpacing"/>
        <w:rPr>
          <w:rFonts w:ascii="Garamond" w:hAnsi="Garamond"/>
          <w:sz w:val="24"/>
          <w:szCs w:val="24"/>
        </w:rPr>
      </w:pPr>
      <w:r>
        <w:rPr>
          <w:rFonts w:ascii="Garamond" w:hAnsi="Garamond"/>
          <w:sz w:val="24"/>
          <w:szCs w:val="24"/>
        </w:rPr>
        <w:t>ISBN: 978-0-9941345-9-2</w:t>
      </w:r>
    </w:p>
    <w:p>
      <w:pPr>
        <w:pStyle w:val="NoSpacing"/>
        <w:rPr>
          <w:rFonts w:ascii="Garamond" w:hAnsi="Garamond"/>
          <w:sz w:val="24"/>
          <w:szCs w:val="24"/>
        </w:rPr>
      </w:pPr>
      <w:r>
        <w:rPr>
          <w:rFonts w:ascii="Garamond" w:hAnsi="Garamond"/>
          <w:sz w:val="24"/>
          <w:szCs w:val="24"/>
        </w:rPr>
        <w:t xml:space="preserve">Format: </w:t>
      </w:r>
      <w:proofErr w:type="spellStart"/>
      <w:r>
        <w:rPr>
          <w:rFonts w:ascii="Garamond" w:hAnsi="Garamond"/>
          <w:sz w:val="24"/>
          <w:szCs w:val="24"/>
        </w:rPr>
        <w:t>210mm</w:t>
      </w:r>
      <w:proofErr w:type="spellEnd"/>
      <w:r>
        <w:rPr>
          <w:rFonts w:ascii="Garamond" w:hAnsi="Garamond"/>
          <w:sz w:val="24"/>
          <w:szCs w:val="24"/>
        </w:rPr>
        <w:t xml:space="preserve"> (tall) x </w:t>
      </w:r>
      <w:proofErr w:type="spellStart"/>
      <w:r>
        <w:rPr>
          <w:rFonts w:ascii="Garamond" w:hAnsi="Garamond"/>
          <w:sz w:val="24"/>
          <w:szCs w:val="24"/>
        </w:rPr>
        <w:t>140mm</w:t>
      </w:r>
      <w:proofErr w:type="spellEnd"/>
      <w:r>
        <w:rPr>
          <w:rFonts w:ascii="Garamond" w:hAnsi="Garamond"/>
          <w:sz w:val="24"/>
          <w:szCs w:val="24"/>
        </w:rPr>
        <w:t xml:space="preserve"> (wide), 166 pages</w:t>
      </w:r>
    </w:p>
    <w:p>
      <w:pPr>
        <w:pStyle w:val="NoSpacing"/>
        <w:rPr>
          <w:rFonts w:ascii="Garamond" w:hAnsi="Garamond"/>
          <w:sz w:val="24"/>
          <w:szCs w:val="24"/>
        </w:rPr>
      </w:pPr>
      <w:proofErr w:type="spellStart"/>
      <w:r>
        <w:rPr>
          <w:rFonts w:ascii="Garamond" w:hAnsi="Garamond"/>
          <w:sz w:val="24"/>
          <w:szCs w:val="24"/>
        </w:rPr>
        <w:t>RRP</w:t>
      </w:r>
      <w:proofErr w:type="spellEnd"/>
      <w:r>
        <w:rPr>
          <w:rFonts w:ascii="Garamond" w:hAnsi="Garamond"/>
          <w:sz w:val="24"/>
          <w:szCs w:val="24"/>
        </w:rPr>
        <w:t>:  $35</w:t>
      </w:r>
    </w:p>
    <w:p>
      <w:pPr>
        <w:pStyle w:val="NoSpacing"/>
        <w:spacing w:line="276" w:lineRule="auto"/>
        <w:rPr>
          <w:rFonts w:ascii="Garamond" w:hAnsi="Garamond"/>
          <w:sz w:val="24"/>
          <w:szCs w:val="24"/>
        </w:rPr>
      </w:pPr>
      <w:r>
        <w:rPr>
          <w:rFonts w:ascii="Garamond" w:hAnsi="Garamond"/>
          <w:sz w:val="24"/>
          <w:szCs w:val="24"/>
        </w:rPr>
        <w:t>Publication Date:  December 2018</w:t>
      </w:r>
    </w:p>
    <w:p>
      <w:pPr>
        <w:pStyle w:val="NoSpacing"/>
        <w:spacing w:line="276" w:lineRule="auto"/>
        <w:rPr>
          <w:rFonts w:ascii="Garamond" w:hAnsi="Garamond"/>
          <w:sz w:val="24"/>
          <w:szCs w:val="24"/>
        </w:rPr>
      </w:pPr>
    </w:p>
    <w:p>
      <w:pPr>
        <w:pStyle w:val="NormalWeb"/>
        <w:numPr>
          <w:ilvl w:val="0"/>
          <w:numId w:val="2"/>
        </w:numPr>
        <w:spacing w:before="0" w:beforeAutospacing="0" w:after="0" w:afterAutospacing="0" w:line="276" w:lineRule="auto"/>
        <w:textAlignment w:val="baseline"/>
        <w:rPr>
          <w:rFonts w:ascii="Garamond" w:hAnsi="Garamond"/>
          <w:i/>
          <w:iCs/>
          <w:color w:val="000000"/>
        </w:rPr>
      </w:pPr>
      <w:r>
        <w:rPr>
          <w:rFonts w:ascii="Garamond" w:hAnsi="Garamond"/>
          <w:color w:val="000000"/>
        </w:rPr>
        <w:t>John-Paul Powley is available for interview – please contact Seraph Press managing editor Helen Rickerby on 027 738 5997 or contact@seraphpress.co.nz.</w:t>
      </w:r>
    </w:p>
    <w:p>
      <w:pPr>
        <w:pStyle w:val="NormalWeb"/>
        <w:numPr>
          <w:ilvl w:val="0"/>
          <w:numId w:val="2"/>
        </w:numPr>
        <w:spacing w:before="0" w:beforeAutospacing="0" w:after="0" w:afterAutospacing="0" w:line="276" w:lineRule="auto"/>
        <w:textAlignment w:val="baseline"/>
        <w:rPr>
          <w:rFonts w:ascii="Garamond" w:hAnsi="Garamond"/>
          <w:i/>
          <w:iCs/>
          <w:color w:val="000000"/>
        </w:rPr>
      </w:pPr>
      <w:proofErr w:type="spellStart"/>
      <w:r>
        <w:rPr>
          <w:rFonts w:ascii="Garamond" w:hAnsi="Garamond"/>
          <w:i/>
          <w:iCs/>
          <w:color w:val="000000"/>
        </w:rPr>
        <w:t>Kaitiaki</w:t>
      </w:r>
      <w:proofErr w:type="spellEnd"/>
      <w:r>
        <w:rPr>
          <w:rFonts w:ascii="Garamond" w:hAnsi="Garamond"/>
          <w:i/>
          <w:iCs/>
          <w:color w:val="000000"/>
        </w:rPr>
        <w:t xml:space="preserve"> o </w:t>
      </w:r>
      <w:proofErr w:type="spellStart"/>
      <w:r>
        <w:rPr>
          <w:rFonts w:ascii="Garamond" w:hAnsi="Garamond"/>
          <w:i/>
          <w:iCs/>
          <w:color w:val="000000"/>
        </w:rPr>
        <w:t>te</w:t>
      </w:r>
      <w:proofErr w:type="spellEnd"/>
      <w:r>
        <w:rPr>
          <w:rFonts w:ascii="Garamond" w:hAnsi="Garamond"/>
          <w:i/>
          <w:iCs/>
          <w:color w:val="000000"/>
        </w:rPr>
        <w:t xml:space="preserve"> </w:t>
      </w:r>
      <w:proofErr w:type="spellStart"/>
      <w:r>
        <w:rPr>
          <w:rFonts w:ascii="Garamond" w:hAnsi="Garamond"/>
          <w:i/>
          <w:iCs/>
          <w:color w:val="000000"/>
        </w:rPr>
        <w:t>Pō</w:t>
      </w:r>
      <w:proofErr w:type="spellEnd"/>
      <w:r>
        <w:rPr>
          <w:rFonts w:ascii="Garamond" w:hAnsi="Garamond"/>
          <w:i/>
          <w:iCs/>
          <w:color w:val="000000"/>
        </w:rPr>
        <w:t xml:space="preserve">: Essays </w:t>
      </w:r>
      <w:r>
        <w:rPr>
          <w:rFonts w:ascii="Garamond" w:hAnsi="Garamond"/>
          <w:iCs/>
          <w:color w:val="000000"/>
        </w:rPr>
        <w:t>is</w:t>
      </w:r>
      <w:r>
        <w:rPr>
          <w:rFonts w:ascii="Garamond" w:hAnsi="Garamond"/>
          <w:color w:val="000000"/>
        </w:rPr>
        <w:t xml:space="preserve"> available to purchase from </w:t>
      </w:r>
      <w:hyperlink r:id="rId10" w:history="1">
        <w:r>
          <w:rPr>
            <w:rStyle w:val="Hyperlink"/>
            <w:rFonts w:ascii="Garamond" w:hAnsi="Garamond"/>
          </w:rPr>
          <w:t>https://www.seraphpress.co.nz/kaitiaki.html</w:t>
        </w:r>
      </w:hyperlink>
      <w:r>
        <w:rPr>
          <w:rFonts w:ascii="Garamond" w:hAnsi="Garamond"/>
          <w:color w:val="000000"/>
        </w:rPr>
        <w:t xml:space="preserve"> </w:t>
      </w:r>
      <w:hyperlink r:id="rId11" w:history="1"/>
      <w:r>
        <w:rPr>
          <w:rFonts w:ascii="Garamond" w:hAnsi="Garamond"/>
          <w:color w:val="000000"/>
        </w:rPr>
        <w:t>and from selected NZ bookstores now.</w:t>
      </w:r>
    </w:p>
    <w:p>
      <w:pPr>
        <w:pStyle w:val="NormalWeb"/>
        <w:numPr>
          <w:ilvl w:val="0"/>
          <w:numId w:val="2"/>
        </w:numPr>
        <w:spacing w:before="0" w:beforeAutospacing="0" w:after="0" w:afterAutospacing="0" w:line="276" w:lineRule="auto"/>
        <w:textAlignment w:val="baseline"/>
        <w:rPr>
          <w:rFonts w:ascii="Garamond" w:hAnsi="Garamond"/>
          <w:i/>
          <w:iCs/>
          <w:color w:val="000000"/>
        </w:rPr>
      </w:pPr>
      <w:r>
        <w:rPr>
          <w:rFonts w:ascii="Garamond" w:hAnsi="Garamond"/>
          <w:color w:val="000000"/>
        </w:rPr>
        <w:t xml:space="preserve">Media materials, including a high-quality image of the book cover, are available for download from </w:t>
      </w:r>
      <w:hyperlink r:id="rId12" w:history="1">
        <w:r>
          <w:rPr>
            <w:rStyle w:val="Hyperlink"/>
            <w:rFonts w:ascii="Garamond" w:hAnsi="Garamond"/>
          </w:rPr>
          <w:t>www.seraphpress.co.nz/media</w:t>
        </w:r>
      </w:hyperlink>
      <w:r>
        <w:rPr>
          <w:rStyle w:val="Hyperlink"/>
          <w:rFonts w:ascii="Garamond" w:hAnsi="Garamond"/>
        </w:rPr>
        <w:t>.</w:t>
      </w:r>
    </w:p>
    <w:p>
      <w:pPr>
        <w:pStyle w:val="NoSpacing"/>
        <w:spacing w:line="276" w:lineRule="auto"/>
        <w:rPr>
          <w:sz w:val="24"/>
          <w:szCs w:val="24"/>
        </w:rPr>
      </w:pPr>
    </w:p>
    <w:sectPr>
      <w:headerReference w:type="default" r:id="rId13"/>
      <w:pgSz w:w="11906" w:h="16838"/>
      <w:pgMar w:top="1440" w:right="1080" w:bottom="1440" w:left="1080" w:header="28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spacing w:after="0"/>
    </w:pPr>
  </w:p>
  <w:tbl>
    <w:tblPr>
      <w:tblW w:w="0" w:type="auto"/>
      <w:jc w:val="center"/>
      <w:tblLayout w:type="fixed"/>
      <w:tblLook w:val="0000" w:firstRow="0" w:lastRow="0" w:firstColumn="0" w:lastColumn="0" w:noHBand="0" w:noVBand="0"/>
    </w:tblPr>
    <w:tblGrid>
      <w:gridCol w:w="2132"/>
      <w:gridCol w:w="2549"/>
    </w:tblGrid>
    <w:tr>
      <w:trPr>
        <w:jc w:val="center"/>
      </w:trPr>
      <w:tc>
        <w:tcPr>
          <w:tcW w:w="2132" w:type="dxa"/>
          <w:shd w:val="clear" w:color="auto" w:fill="auto"/>
        </w:tcPr>
        <w:p>
          <w:pPr>
            <w:suppressAutoHyphens/>
            <w:overflowPunct w:val="0"/>
            <w:autoSpaceDE w:val="0"/>
            <w:spacing w:after="0" w:line="240" w:lineRule="auto"/>
            <w:jc w:val="center"/>
            <w:textAlignment w:val="baseline"/>
            <w:rPr>
              <w:rFonts w:ascii="Garamond" w:eastAsia="Times New Roman" w:hAnsi="Garamond" w:cs="Garamond"/>
              <w:color w:val="auto"/>
              <w:sz w:val="20"/>
              <w:szCs w:val="20"/>
              <w:lang w:val="en-GB" w:eastAsia="ar-SA"/>
            </w:rPr>
          </w:pPr>
          <w:r>
            <w:rPr>
              <w:rFonts w:ascii="Book Antiqua" w:eastAsia="Times New Roman" w:hAnsi="Book Antiqua" w:cs="Book Antiqua"/>
              <w:noProof/>
              <w:color w:val="auto"/>
              <w:sz w:val="24"/>
              <w:szCs w:val="20"/>
            </w:rPr>
            <w:drawing>
              <wp:inline distT="0" distB="0" distL="0" distR="0">
                <wp:extent cx="7905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solidFill>
                          <a:srgbClr val="FFFFFF"/>
                        </a:solidFill>
                        <a:ln>
                          <a:noFill/>
                        </a:ln>
                      </pic:spPr>
                    </pic:pic>
                  </a:graphicData>
                </a:graphic>
              </wp:inline>
            </w:drawing>
          </w:r>
        </w:p>
      </w:tc>
      <w:tc>
        <w:tcPr>
          <w:tcW w:w="2549" w:type="dxa"/>
          <w:shd w:val="clear" w:color="auto" w:fill="auto"/>
        </w:tcPr>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PO Box 25239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Wellington 6146</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New Zealand</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64 4 385 7119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contact@seraphpress.co.nz</w:t>
          </w:r>
        </w:p>
        <w:p>
          <w:pPr>
            <w:suppressAutoHyphens/>
            <w:overflowPunct w:val="0"/>
            <w:autoSpaceDE w:val="0"/>
            <w:spacing w:after="0" w:line="240" w:lineRule="auto"/>
            <w:textAlignment w:val="baseline"/>
            <w:rPr>
              <w:rFonts w:ascii="Book Antiqua" w:eastAsia="Times New Roman" w:hAnsi="Book Antiqua" w:cs="Book Antiqua"/>
              <w:color w:val="auto"/>
              <w:sz w:val="24"/>
              <w:szCs w:val="20"/>
              <w:lang w:val="en-GB" w:eastAsia="ar-SA"/>
            </w:rPr>
          </w:pPr>
          <w:r>
            <w:rPr>
              <w:rFonts w:ascii="Garamond" w:hAnsi="Garamond"/>
              <w:sz w:val="20"/>
              <w:szCs w:val="20"/>
            </w:rPr>
            <w:t>www.seraphpress.co.nz</w:t>
          </w:r>
        </w:p>
      </w:tc>
    </w:tr>
  </w:tbl>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04E8"/>
    <w:multiLevelType w:val="multilevel"/>
    <w:tmpl w:val="D6FAE0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35A359E"/>
    <w:multiLevelType w:val="multilevel"/>
    <w:tmpl w:val="3BC8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6483">
      <w:bodyDiv w:val="1"/>
      <w:marLeft w:val="0"/>
      <w:marRight w:val="0"/>
      <w:marTop w:val="0"/>
      <w:marBottom w:val="0"/>
      <w:divBdr>
        <w:top w:val="none" w:sz="0" w:space="0" w:color="auto"/>
        <w:left w:val="none" w:sz="0" w:space="0" w:color="auto"/>
        <w:bottom w:val="none" w:sz="0" w:space="0" w:color="auto"/>
        <w:right w:val="none" w:sz="0" w:space="0" w:color="auto"/>
      </w:divBdr>
    </w:div>
    <w:div w:id="475144211">
      <w:bodyDiv w:val="1"/>
      <w:marLeft w:val="0"/>
      <w:marRight w:val="0"/>
      <w:marTop w:val="0"/>
      <w:marBottom w:val="0"/>
      <w:divBdr>
        <w:top w:val="none" w:sz="0" w:space="0" w:color="auto"/>
        <w:left w:val="none" w:sz="0" w:space="0" w:color="auto"/>
        <w:bottom w:val="none" w:sz="0" w:space="0" w:color="auto"/>
        <w:right w:val="none" w:sz="0" w:space="0" w:color="auto"/>
      </w:divBdr>
    </w:div>
    <w:div w:id="642195179">
      <w:bodyDiv w:val="1"/>
      <w:marLeft w:val="0"/>
      <w:marRight w:val="0"/>
      <w:marTop w:val="0"/>
      <w:marBottom w:val="0"/>
      <w:divBdr>
        <w:top w:val="none" w:sz="0" w:space="0" w:color="auto"/>
        <w:left w:val="none" w:sz="0" w:space="0" w:color="auto"/>
        <w:bottom w:val="none" w:sz="0" w:space="0" w:color="auto"/>
        <w:right w:val="none" w:sz="0" w:space="0" w:color="auto"/>
      </w:divBdr>
    </w:div>
    <w:div w:id="84443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8176">
          <w:marLeft w:val="0"/>
          <w:marRight w:val="0"/>
          <w:marTop w:val="0"/>
          <w:marBottom w:val="0"/>
          <w:divBdr>
            <w:top w:val="none" w:sz="0" w:space="0" w:color="auto"/>
            <w:left w:val="none" w:sz="0" w:space="0" w:color="auto"/>
            <w:bottom w:val="none" w:sz="0" w:space="0" w:color="auto"/>
            <w:right w:val="none" w:sz="0" w:space="0" w:color="auto"/>
          </w:divBdr>
        </w:div>
      </w:divsChild>
    </w:div>
    <w:div w:id="1189678688">
      <w:bodyDiv w:val="1"/>
      <w:marLeft w:val="0"/>
      <w:marRight w:val="0"/>
      <w:marTop w:val="0"/>
      <w:marBottom w:val="0"/>
      <w:divBdr>
        <w:top w:val="none" w:sz="0" w:space="0" w:color="auto"/>
        <w:left w:val="none" w:sz="0" w:space="0" w:color="auto"/>
        <w:bottom w:val="none" w:sz="0" w:space="0" w:color="auto"/>
        <w:right w:val="none" w:sz="0" w:space="0" w:color="auto"/>
      </w:divBdr>
    </w:div>
    <w:div w:id="1292056648">
      <w:bodyDiv w:val="1"/>
      <w:marLeft w:val="0"/>
      <w:marRight w:val="0"/>
      <w:marTop w:val="0"/>
      <w:marBottom w:val="0"/>
      <w:divBdr>
        <w:top w:val="none" w:sz="0" w:space="0" w:color="auto"/>
        <w:left w:val="none" w:sz="0" w:space="0" w:color="auto"/>
        <w:bottom w:val="none" w:sz="0" w:space="0" w:color="auto"/>
        <w:right w:val="none" w:sz="0" w:space="0" w:color="auto"/>
      </w:divBdr>
    </w:div>
    <w:div w:id="1682705158">
      <w:bodyDiv w:val="1"/>
      <w:marLeft w:val="0"/>
      <w:marRight w:val="0"/>
      <w:marTop w:val="0"/>
      <w:marBottom w:val="0"/>
      <w:divBdr>
        <w:top w:val="none" w:sz="0" w:space="0" w:color="auto"/>
        <w:left w:val="none" w:sz="0" w:space="0" w:color="auto"/>
        <w:bottom w:val="none" w:sz="0" w:space="0" w:color="auto"/>
        <w:right w:val="none" w:sz="0" w:space="0" w:color="auto"/>
      </w:divBdr>
    </w:div>
    <w:div w:id="1695039970">
      <w:bodyDiv w:val="1"/>
      <w:marLeft w:val="0"/>
      <w:marRight w:val="0"/>
      <w:marTop w:val="0"/>
      <w:marBottom w:val="0"/>
      <w:divBdr>
        <w:top w:val="none" w:sz="0" w:space="0" w:color="auto"/>
        <w:left w:val="none" w:sz="0" w:space="0" w:color="auto"/>
        <w:bottom w:val="none" w:sz="0" w:space="0" w:color="auto"/>
        <w:right w:val="none" w:sz="0" w:space="0" w:color="auto"/>
      </w:divBdr>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120494484">
          <w:marLeft w:val="0"/>
          <w:marRight w:val="0"/>
          <w:marTop w:val="75"/>
          <w:marBottom w:val="75"/>
          <w:divBdr>
            <w:top w:val="none" w:sz="0" w:space="0" w:color="auto"/>
            <w:left w:val="none" w:sz="0" w:space="0" w:color="auto"/>
            <w:bottom w:val="none" w:sz="0" w:space="0" w:color="auto"/>
            <w:right w:val="none" w:sz="0" w:space="0" w:color="auto"/>
          </w:divBdr>
        </w:div>
        <w:div w:id="1412897777">
          <w:marLeft w:val="0"/>
          <w:marRight w:val="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aphpress.co.nz/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phpress.co.nz/publication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raphpress.co.nz/kaitiak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2C9FDE-0EAE-49C7-90A8-447E4B47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Hecate</dc:creator>
  <cp:lastModifiedBy>H &amp; S</cp:lastModifiedBy>
  <cp:revision>9</cp:revision>
  <cp:lastPrinted>2018-11-27T08:23:00Z</cp:lastPrinted>
  <dcterms:created xsi:type="dcterms:W3CDTF">2018-11-23T21:01:00Z</dcterms:created>
  <dcterms:modified xsi:type="dcterms:W3CDTF">2018-12-08T03:25:00Z</dcterms:modified>
</cp:coreProperties>
</file>